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DC536" w14:textId="77777777" w:rsidR="005E0319" w:rsidRDefault="005E0319" w:rsidP="005E0319">
      <w:pPr>
        <w:spacing w:after="20"/>
      </w:pPr>
      <w:r>
        <w:rPr>
          <w:rFonts w:ascii="Calibri" w:eastAsia="Calibri" w:hAnsi="Calibri" w:cs="Calibri"/>
          <w:b/>
          <w:bCs/>
          <w:color w:val="0072CE"/>
          <w:spacing w:val="20"/>
          <w:sz w:val="20"/>
          <w:szCs w:val="20"/>
        </w:rPr>
        <w:t>TENNESSEE DISABILITY COALITION</w:t>
      </w:r>
    </w:p>
    <w:p w14:paraId="4673763E" w14:textId="77777777" w:rsidR="005E0319" w:rsidRDefault="005E0319" w:rsidP="005E0319">
      <w:pPr>
        <w:pBdr>
          <w:bottom w:val="single" w:sz="14" w:space="6" w:color="0A3D62"/>
        </w:pBdr>
        <w:spacing w:after="40"/>
      </w:pPr>
      <w:r>
        <w:rPr>
          <w:rFonts w:ascii="Calibri" w:eastAsia="Calibri" w:hAnsi="Calibri" w:cs="Calibri"/>
          <w:b/>
          <w:bCs/>
          <w:color w:val="0A3D62"/>
          <w:sz w:val="44"/>
          <w:szCs w:val="44"/>
        </w:rPr>
        <w:t>Sharing Your Tennessee Story</w:t>
      </w:r>
    </w:p>
    <w:p w14:paraId="568C0941" w14:textId="77777777" w:rsidR="005E0319" w:rsidRDefault="005E0319" w:rsidP="005E0319">
      <w:pPr>
        <w:spacing w:before="100" w:after="200"/>
      </w:pPr>
      <w:r>
        <w:rPr>
          <w:rFonts w:ascii="Calibri" w:eastAsia="Calibri" w:hAnsi="Calibri" w:cs="Calibri"/>
          <w:i/>
          <w:iCs/>
          <w:color w:val="555555"/>
          <w:sz w:val="20"/>
          <w:szCs w:val="20"/>
        </w:rPr>
        <w:t>Quick-Reference Guide  ·  2026 Public Policy Retreat &amp; Membership Meeting</w:t>
      </w:r>
    </w:p>
    <w:p w14:paraId="554BEF8F" w14:textId="3A55512B" w:rsidR="005E0319" w:rsidRDefault="005E0319" w:rsidP="005E0319">
      <w:pPr>
        <w:spacing w:after="200"/>
        <w:rPr>
          <w:rFonts w:ascii="Calibri" w:eastAsia="Calibri" w:hAnsi="Calibri" w:cs="Calibri"/>
          <w:color w:val="222222"/>
          <w:sz w:val="20"/>
          <w:szCs w:val="20"/>
        </w:rPr>
      </w:pPr>
      <w:r>
        <w:rPr>
          <w:rFonts w:ascii="Calibri" w:eastAsia="Calibri" w:hAnsi="Calibri" w:cs="Calibri"/>
          <w:color w:val="222222"/>
          <w:sz w:val="20"/>
          <w:szCs w:val="20"/>
        </w:rPr>
        <w:t>Legislators and reporters are as overwhelmed by noise as the rest of us. What breaks through isn't another fact or statistic — it's your story. This guide is a take-home version of today's session: the core tactics, in one place, for the next time you have five minutes with a legislator, an editor, or your own social feed.</w:t>
      </w:r>
    </w:p>
    <w:tbl>
      <w:tblPr>
        <w:tblW w:w="5000" w:type="pct"/>
        <w:tblBorders>
          <w:top w:val="single" w:sz="8" w:space="0" w:color="0072CE"/>
          <w:left w:val="single" w:sz="8" w:space="0" w:color="0072CE"/>
          <w:bottom w:val="single" w:sz="8" w:space="0" w:color="0072CE"/>
          <w:right w:val="single" w:sz="8" w:space="0" w:color="0072CE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80"/>
      </w:tblGrid>
      <w:tr w:rsidR="005E0319" w14:paraId="0BAC7C80" w14:textId="77777777" w:rsidTr="00B16F9E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AF4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D321ED5" w14:textId="77777777" w:rsidR="005E0319" w:rsidRDefault="005E0319" w:rsidP="00B16F9E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0A3D62"/>
                <w:sz w:val="22"/>
                <w:szCs w:val="22"/>
              </w:rPr>
              <w:t>“Facts and data don’t move people. Stories do.”</w:t>
            </w:r>
          </w:p>
          <w:p w14:paraId="66D5C212" w14:textId="77777777" w:rsidR="005E0319" w:rsidRDefault="005E0319" w:rsidP="00B16F9E">
            <w:r>
              <w:rPr>
                <w:rFonts w:ascii="Calibri" w:eastAsia="Calibri" w:hAnsi="Calibri" w:cs="Calibri"/>
                <w:color w:val="555555"/>
                <w:sz w:val="18"/>
                <w:szCs w:val="18"/>
              </w:rPr>
              <w:t>— TN State Sen. Bo Watson, R-Hixson</w:t>
            </w:r>
          </w:p>
          <w:p w14:paraId="31830D93" w14:textId="77777777" w:rsidR="005E0319" w:rsidRDefault="005E0319" w:rsidP="00B16F9E">
            <w:pPr>
              <w:spacing w:before="80"/>
            </w:pPr>
            <w:r>
              <w:rPr>
                <w:rFonts w:ascii="Calibri" w:eastAsia="Calibri" w:hAnsi="Calibri" w:cs="Calibri"/>
                <w:color w:val="222222"/>
                <w:sz w:val="18"/>
                <w:szCs w:val="18"/>
              </w:rPr>
              <w:t>Stanford research shows people remember stories 22 times more than facts alone. Your story is one no one else can tell — and no one can argue with your lived experience.</w:t>
            </w:r>
          </w:p>
        </w:tc>
      </w:tr>
    </w:tbl>
    <w:p w14:paraId="2A97C98D" w14:textId="5AE1637B" w:rsidR="005E0319" w:rsidRDefault="005E0319" w:rsidP="005E0319">
      <w:pPr>
        <w:pBdr>
          <w:bottom w:val="single" w:sz="6" w:space="4" w:color="0072CE"/>
        </w:pBdr>
        <w:spacing w:before="260" w:after="100"/>
      </w:pPr>
      <w:r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  <w:t>WORDS THAT WORK</w:t>
      </w:r>
    </w:p>
    <w:p w14:paraId="1C1BE7DD" w14:textId="7256EFAD" w:rsidR="005E0319" w:rsidRDefault="005E0319" w:rsidP="005E0319">
      <w:pPr>
        <w:spacing w:after="120"/>
      </w:pPr>
      <w:r>
        <w:rPr>
          <w:rFonts w:ascii="Calibri" w:eastAsia="Calibri" w:hAnsi="Calibri" w:cs="Calibri"/>
          <w:color w:val="222222"/>
          <w:sz w:val="18"/>
          <w:szCs w:val="18"/>
        </w:rPr>
        <w:t>Tennessee focus groups found that some once-neutral terms</w:t>
      </w:r>
      <w:r>
        <w:rPr>
          <w:rFonts w:ascii="Calibri" w:eastAsia="Calibri" w:hAnsi="Calibri" w:cs="Calibri"/>
          <w:color w:val="222222"/>
          <w:sz w:val="18"/>
          <w:szCs w:val="18"/>
        </w:rPr>
        <w:t xml:space="preserve"> could</w:t>
      </w:r>
      <w:r>
        <w:rPr>
          <w:rFonts w:ascii="Calibri" w:eastAsia="Calibri" w:hAnsi="Calibri" w:cs="Calibri"/>
          <w:color w:val="222222"/>
          <w:sz w:val="18"/>
          <w:szCs w:val="18"/>
        </w:rPr>
        <w:t xml:space="preserve"> carry political baggage. Consider these swaps when describing your work.</w:t>
      </w:r>
    </w:p>
    <w:tbl>
      <w:tblPr>
        <w:tblW w:w="5000" w:type="pct"/>
        <w:tblBorders>
          <w:top w:val="single" w:sz="4" w:space="0" w:color="CCCCCC"/>
          <w:bottom w:val="single" w:sz="4" w:space="0" w:color="CCCCCC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7"/>
        <w:gridCol w:w="6993"/>
      </w:tblGrid>
      <w:tr w:rsidR="005E0319" w14:paraId="66AC8A91" w14:textId="77777777" w:rsidTr="005E0319">
        <w:tblPrEx>
          <w:tblCellMar>
            <w:top w:w="0" w:type="dxa"/>
            <w:bottom w:w="0" w:type="dxa"/>
          </w:tblCellMar>
        </w:tblPrEx>
        <w:tc>
          <w:tcPr>
            <w:tcW w:w="3299" w:type="dxa"/>
            <w:shd w:val="clear" w:color="auto" w:fill="0A3D62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759AC141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Instead of...</w:t>
            </w:r>
          </w:p>
        </w:tc>
        <w:tc>
          <w:tcPr>
            <w:tcW w:w="6061" w:type="dxa"/>
            <w:shd w:val="clear" w:color="auto" w:fill="0A3D62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4CF4CEC0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Try...</w:t>
            </w:r>
          </w:p>
        </w:tc>
      </w:tr>
      <w:tr w:rsidR="005E0319" w14:paraId="2E563853" w14:textId="77777777" w:rsidTr="005E0319">
        <w:tblPrEx>
          <w:tblCellMar>
            <w:top w:w="0" w:type="dxa"/>
            <w:bottom w:w="0" w:type="dxa"/>
          </w:tblCellMar>
        </w:tblPrEx>
        <w:tc>
          <w:tcPr>
            <w:tcW w:w="3299" w:type="dxa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044CCF52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Nonprofit</w:t>
            </w:r>
          </w:p>
        </w:tc>
        <w:tc>
          <w:tcPr>
            <w:tcW w:w="6061" w:type="dxa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11BA2CD2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Community benefit organization / community service provider</w:t>
            </w:r>
          </w:p>
        </w:tc>
      </w:tr>
      <w:tr w:rsidR="005E0319" w14:paraId="5C5A5F3D" w14:textId="77777777" w:rsidTr="005E0319">
        <w:tblPrEx>
          <w:tblCellMar>
            <w:top w:w="0" w:type="dxa"/>
            <w:bottom w:w="0" w:type="dxa"/>
          </w:tblCellMar>
        </w:tblPrEx>
        <w:tc>
          <w:tcPr>
            <w:tcW w:w="3299" w:type="dxa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3CBB9F4B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Equity</w:t>
            </w:r>
          </w:p>
        </w:tc>
        <w:tc>
          <w:tcPr>
            <w:tcW w:w="6061" w:type="dxa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04DAE39B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Opportunity / equal access</w:t>
            </w:r>
          </w:p>
        </w:tc>
      </w:tr>
      <w:tr w:rsidR="005E0319" w14:paraId="4C4A0C85" w14:textId="77777777" w:rsidTr="005E0319">
        <w:tblPrEx>
          <w:tblCellMar>
            <w:top w:w="0" w:type="dxa"/>
            <w:bottom w:w="0" w:type="dxa"/>
          </w:tblCellMar>
        </w:tblPrEx>
        <w:tc>
          <w:tcPr>
            <w:tcW w:w="3299" w:type="dxa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12048E44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Diversity / DEI</w:t>
            </w:r>
          </w:p>
        </w:tc>
        <w:tc>
          <w:tcPr>
            <w:tcW w:w="6061" w:type="dxa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53D277C8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Belonging / culture</w:t>
            </w:r>
          </w:p>
        </w:tc>
      </w:tr>
      <w:tr w:rsidR="005E0319" w14:paraId="16F7A473" w14:textId="77777777" w:rsidTr="005E0319">
        <w:tblPrEx>
          <w:tblCellMar>
            <w:top w:w="0" w:type="dxa"/>
            <w:bottom w:w="0" w:type="dxa"/>
          </w:tblCellMar>
        </w:tblPrEx>
        <w:tc>
          <w:tcPr>
            <w:tcW w:w="3299" w:type="dxa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4FCF347D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Advocacy</w:t>
            </w:r>
          </w:p>
        </w:tc>
        <w:tc>
          <w:tcPr>
            <w:tcW w:w="6061" w:type="dxa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5B1D8802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Education / community engagement / civic involvement</w:t>
            </w:r>
          </w:p>
        </w:tc>
      </w:tr>
      <w:tr w:rsidR="005E0319" w14:paraId="40F2C7A4" w14:textId="77777777" w:rsidTr="005E0319">
        <w:tblPrEx>
          <w:tblCellMar>
            <w:top w:w="0" w:type="dxa"/>
            <w:bottom w:w="0" w:type="dxa"/>
          </w:tblCellMar>
        </w:tblPrEx>
        <w:tc>
          <w:tcPr>
            <w:tcW w:w="3299" w:type="dxa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356C7C96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Underserved</w:t>
            </w:r>
          </w:p>
        </w:tc>
        <w:tc>
          <w:tcPr>
            <w:tcW w:w="6061" w:type="dxa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1DF451CC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Vulnerable</w:t>
            </w:r>
          </w:p>
        </w:tc>
      </w:tr>
    </w:tbl>
    <w:p w14:paraId="1903D601" w14:textId="16A54F38" w:rsidR="005E0319" w:rsidRDefault="005E0319" w:rsidP="005E0319">
      <w:pPr>
        <w:pBdr>
          <w:bottom w:val="single" w:sz="6" w:space="4" w:color="0072CE"/>
        </w:pBdr>
        <w:spacing w:before="260" w:after="100"/>
      </w:pPr>
      <w:r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  <w:t>WHAT RESONATES IN YOUR REGION</w:t>
      </w:r>
    </w:p>
    <w:p w14:paraId="4335ACD2" w14:textId="77777777" w:rsidR="005E0319" w:rsidRDefault="005E0319" w:rsidP="005E0319">
      <w:pPr>
        <w:spacing w:after="120"/>
      </w:pPr>
      <w:r>
        <w:rPr>
          <w:rFonts w:ascii="Calibri" w:eastAsia="Calibri" w:hAnsi="Calibri" w:cs="Calibri"/>
          <w:color w:val="222222"/>
          <w:sz w:val="18"/>
          <w:szCs w:val="18"/>
        </w:rPr>
        <w:t>Tennessee isn't a monolith — messaging that lands in Memphis won't land the same way in Mountain City. Focus groups of nonprofit leaders across the state identified what resonates locally.</w:t>
      </w:r>
    </w:p>
    <w:tbl>
      <w:tblPr>
        <w:tblW w:w="5000" w:type="pct"/>
        <w:tblBorders>
          <w:top w:val="single" w:sz="4" w:space="0" w:color="CCCCCC"/>
          <w:bottom w:val="single" w:sz="4" w:space="0" w:color="CCCCCC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9"/>
        <w:gridCol w:w="8351"/>
      </w:tblGrid>
      <w:tr w:rsidR="005E0319" w14:paraId="5A85E3A6" w14:textId="77777777" w:rsidTr="00B16F9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0A3D62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7D33C090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Region</w:t>
            </w:r>
          </w:p>
        </w:tc>
        <w:tc>
          <w:tcPr>
            <w:tcW w:w="7500" w:type="dxa"/>
            <w:shd w:val="clear" w:color="auto" w:fill="0A3D62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456F5111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What Resonates</w:t>
            </w:r>
          </w:p>
        </w:tc>
      </w:tr>
      <w:tr w:rsidR="005E0319" w14:paraId="201F07B2" w14:textId="77777777" w:rsidTr="00B16F9E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5D7B356A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West TN</w:t>
            </w:r>
          </w:p>
        </w:tc>
        <w:tc>
          <w:tcPr>
            <w:tcW w:w="7500" w:type="dxa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5ABD02BE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Emphasize credibility and trust. Engage faith-based networks. Hyper-local voices are most persuasive here.</w:t>
            </w:r>
          </w:p>
        </w:tc>
      </w:tr>
      <w:tr w:rsidR="005E0319" w14:paraId="4B6A85ED" w14:textId="77777777" w:rsidTr="00B16F9E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6176F4E1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Middle TN</w:t>
            </w:r>
          </w:p>
        </w:tc>
        <w:tc>
          <w:tcPr>
            <w:tcW w:w="7500" w:type="dxa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2B9D44F0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Emphasize professionalism, strategic partnerships, and measurable impact.</w:t>
            </w:r>
          </w:p>
        </w:tc>
      </w:tr>
      <w:tr w:rsidR="005E0319" w14:paraId="27880F2C" w14:textId="77777777" w:rsidTr="00B16F9E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50A0ADAA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Northeast TN</w:t>
            </w:r>
          </w:p>
        </w:tc>
        <w:tc>
          <w:tcPr>
            <w:tcW w:w="7500" w:type="dxa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3F33210F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Address skepticism head-on with “essential infrastructure” framing. Use real, local examples of people helped.</w:t>
            </w:r>
          </w:p>
        </w:tc>
      </w:tr>
      <w:tr w:rsidR="005E0319" w14:paraId="0AEBB7C9" w14:textId="77777777" w:rsidTr="00B16F9E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29BAD2D8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Southeast TN</w:t>
            </w:r>
          </w:p>
        </w:tc>
        <w:tc>
          <w:tcPr>
            <w:tcW w:w="7500" w:type="dxa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7F37635C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Promote collective impact and cross-sector collaboration. Emphasize outcomes and impact.</w:t>
            </w:r>
          </w:p>
        </w:tc>
      </w:tr>
      <w:tr w:rsidR="005E0319" w14:paraId="683E70B0" w14:textId="77777777" w:rsidTr="00B16F9E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0FF65B23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Rural TN</w:t>
            </w:r>
          </w:p>
        </w:tc>
        <w:tc>
          <w:tcPr>
            <w:tcW w:w="7500" w:type="dxa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7912FB45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Emphasize essential local services, neighborly trust, and faith/family values. Keep language plain — avoid jargon.</w:t>
            </w:r>
          </w:p>
        </w:tc>
      </w:tr>
    </w:tbl>
    <w:p w14:paraId="49E0194E" w14:textId="77777777" w:rsidR="005E0319" w:rsidRDefault="005E0319" w:rsidP="005E0319"/>
    <w:p w14:paraId="30F3BDC1" w14:textId="0679BF23" w:rsidR="005E0319" w:rsidRDefault="005E0319" w:rsidP="005E0319"/>
    <w:p w14:paraId="07A6672D" w14:textId="77777777" w:rsidR="005E0319" w:rsidRDefault="005E0319" w:rsidP="005E0319"/>
    <w:p w14:paraId="7669DBF6" w14:textId="77777777" w:rsidR="005D4025" w:rsidRDefault="005D4025" w:rsidP="005E0319">
      <w:pPr>
        <w:pBdr>
          <w:bottom w:val="single" w:sz="6" w:space="4" w:color="0072CE"/>
        </w:pBdr>
        <w:spacing w:before="260" w:after="100"/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</w:pPr>
    </w:p>
    <w:p w14:paraId="6935BF0F" w14:textId="77777777" w:rsidR="005D4025" w:rsidRDefault="005D4025" w:rsidP="005E0319">
      <w:pPr>
        <w:pBdr>
          <w:bottom w:val="single" w:sz="6" w:space="4" w:color="0072CE"/>
        </w:pBdr>
        <w:spacing w:before="260" w:after="100"/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</w:pPr>
    </w:p>
    <w:p w14:paraId="11C36B49" w14:textId="562875A3" w:rsidR="005E0319" w:rsidRDefault="005E0319" w:rsidP="005E0319">
      <w:pPr>
        <w:pBdr>
          <w:bottom w:val="single" w:sz="6" w:space="4" w:color="0072CE"/>
        </w:pBdr>
        <w:spacing w:before="260" w:after="100"/>
      </w:pPr>
      <w:r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  <w:lastRenderedPageBreak/>
        <w:t>THE 4 ELEMENTS OF A COMPELLING STORY</w:t>
      </w:r>
    </w:p>
    <w:tbl>
      <w:tblPr>
        <w:tblW w:w="5000" w:type="pct"/>
        <w:tblBorders>
          <w:insideH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6"/>
        <w:gridCol w:w="7874"/>
      </w:tblGrid>
      <w:tr w:rsidR="005E0319" w14:paraId="1F2DAC6F" w14:textId="77777777" w:rsidTr="005E0319">
        <w:tblPrEx>
          <w:tblCellMar>
            <w:top w:w="0" w:type="dxa"/>
            <w:bottom w:w="0" w:type="dxa"/>
          </w:tblCellMar>
        </w:tblPrEx>
        <w:tc>
          <w:tcPr>
            <w:tcW w:w="2536" w:type="dxa"/>
            <w:tcMar>
              <w:top w:w="100" w:type="dxa"/>
              <w:left w:w="60" w:type="dxa"/>
              <w:bottom w:w="100" w:type="dxa"/>
              <w:right w:w="120" w:type="dxa"/>
            </w:tcMar>
            <w:vAlign w:val="center"/>
          </w:tcPr>
          <w:p w14:paraId="10F77EA7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THE MOMENT</w:t>
            </w:r>
          </w:p>
        </w:tc>
        <w:tc>
          <w:tcPr>
            <w:tcW w:w="6824" w:type="dxa"/>
            <w:tcMar>
              <w:top w:w="100" w:type="dxa"/>
              <w:left w:w="120" w:type="dxa"/>
              <w:bottom w:w="100" w:type="dxa"/>
              <w:right w:w="60" w:type="dxa"/>
            </w:tcMar>
            <w:vAlign w:val="center"/>
          </w:tcPr>
          <w:p w14:paraId="01C289D0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One specific, concrete experience — not a general summary. A single moment beats a list.</w:t>
            </w:r>
          </w:p>
        </w:tc>
      </w:tr>
      <w:tr w:rsidR="005E0319" w14:paraId="3B4CCECE" w14:textId="77777777" w:rsidTr="005E0319">
        <w:tblPrEx>
          <w:tblCellMar>
            <w:top w:w="0" w:type="dxa"/>
            <w:bottom w:w="0" w:type="dxa"/>
          </w:tblCellMar>
        </w:tblPrEx>
        <w:tc>
          <w:tcPr>
            <w:tcW w:w="2536" w:type="dxa"/>
            <w:tcMar>
              <w:top w:w="100" w:type="dxa"/>
              <w:left w:w="60" w:type="dxa"/>
              <w:bottom w:w="100" w:type="dxa"/>
              <w:right w:w="120" w:type="dxa"/>
            </w:tcMar>
            <w:vAlign w:val="center"/>
          </w:tcPr>
          <w:p w14:paraId="363CD6D3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THE STAKES</w:t>
            </w:r>
          </w:p>
        </w:tc>
        <w:tc>
          <w:tcPr>
            <w:tcW w:w="6824" w:type="dxa"/>
            <w:tcMar>
              <w:top w:w="100" w:type="dxa"/>
              <w:left w:w="120" w:type="dxa"/>
              <w:bottom w:w="100" w:type="dxa"/>
              <w:right w:w="60" w:type="dxa"/>
            </w:tcMar>
            <w:vAlign w:val="center"/>
          </w:tcPr>
          <w:p w14:paraId="570A257B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What's at risk? What does this policy mean for your daily life, your child's future, or your organization?</w:t>
            </w:r>
          </w:p>
        </w:tc>
      </w:tr>
      <w:tr w:rsidR="005E0319" w14:paraId="49B884CD" w14:textId="77777777" w:rsidTr="005E0319">
        <w:tblPrEx>
          <w:tblCellMar>
            <w:top w:w="0" w:type="dxa"/>
            <w:bottom w:w="0" w:type="dxa"/>
          </w:tblCellMar>
        </w:tblPrEx>
        <w:tc>
          <w:tcPr>
            <w:tcW w:w="2536" w:type="dxa"/>
            <w:tcMar>
              <w:top w:w="100" w:type="dxa"/>
              <w:left w:w="60" w:type="dxa"/>
              <w:bottom w:w="100" w:type="dxa"/>
              <w:right w:w="120" w:type="dxa"/>
            </w:tcMar>
            <w:vAlign w:val="center"/>
          </w:tcPr>
          <w:p w14:paraId="0CA676A0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THE ASK</w:t>
            </w:r>
          </w:p>
        </w:tc>
        <w:tc>
          <w:tcPr>
            <w:tcW w:w="6824" w:type="dxa"/>
            <w:tcMar>
              <w:top w:w="100" w:type="dxa"/>
              <w:left w:w="120" w:type="dxa"/>
              <w:bottom w:w="100" w:type="dxa"/>
              <w:right w:w="60" w:type="dxa"/>
            </w:tcMar>
            <w:vAlign w:val="center"/>
          </w:tcPr>
          <w:p w14:paraId="69219E08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What do you want the listener to do? Be specific: co-sponsor this bill, vote yes, schedule a meeting.</w:t>
            </w:r>
          </w:p>
        </w:tc>
      </w:tr>
      <w:tr w:rsidR="005E0319" w14:paraId="02B13234" w14:textId="77777777" w:rsidTr="005E0319">
        <w:tblPrEx>
          <w:tblCellMar>
            <w:top w:w="0" w:type="dxa"/>
            <w:bottom w:w="0" w:type="dxa"/>
          </w:tblCellMar>
        </w:tblPrEx>
        <w:trPr>
          <w:trHeight w:val="19"/>
        </w:trPr>
        <w:tc>
          <w:tcPr>
            <w:tcW w:w="2536" w:type="dxa"/>
            <w:tcMar>
              <w:top w:w="100" w:type="dxa"/>
              <w:left w:w="60" w:type="dxa"/>
              <w:bottom w:w="100" w:type="dxa"/>
              <w:right w:w="120" w:type="dxa"/>
            </w:tcMar>
            <w:vAlign w:val="center"/>
          </w:tcPr>
          <w:p w14:paraId="46CB9BE4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THE CONNECTION</w:t>
            </w:r>
          </w:p>
        </w:tc>
        <w:tc>
          <w:tcPr>
            <w:tcW w:w="6824" w:type="dxa"/>
            <w:tcMar>
              <w:top w:w="100" w:type="dxa"/>
              <w:left w:w="120" w:type="dxa"/>
              <w:bottom w:w="100" w:type="dxa"/>
              <w:right w:w="60" w:type="dxa"/>
            </w:tcMar>
            <w:vAlign w:val="center"/>
          </w:tcPr>
          <w:p w14:paraId="0C28577E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Show how your story connects to others — you're not alone, and the issue affects many Tennesseans.</w:t>
            </w:r>
          </w:p>
        </w:tc>
      </w:tr>
    </w:tbl>
    <w:p w14:paraId="63C85396" w14:textId="42E866D7" w:rsidR="005E0319" w:rsidRDefault="005E0319" w:rsidP="005E0319">
      <w:pPr>
        <w:pBdr>
          <w:bottom w:val="single" w:sz="6" w:space="4" w:color="0072CE"/>
        </w:pBdr>
        <w:spacing w:before="260" w:after="100"/>
      </w:pPr>
      <w:r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  <w:t>DRAFT YOUR STORY — WORKSHEET</w:t>
      </w:r>
    </w:p>
    <w:p w14:paraId="173B9DA7" w14:textId="15D0EB70" w:rsidR="005E0319" w:rsidRDefault="005E0319" w:rsidP="005E0319">
      <w:pPr>
        <w:spacing w:after="100"/>
        <w:rPr>
          <w:rFonts w:ascii="Calibri" w:eastAsia="Calibri" w:hAnsi="Calibri" w:cs="Calibri"/>
          <w:color w:val="222222"/>
          <w:sz w:val="20"/>
          <w:szCs w:val="20"/>
        </w:rPr>
      </w:pPr>
      <w:r>
        <w:rPr>
          <w:rFonts w:ascii="Calibri" w:eastAsia="Calibri" w:hAnsi="Calibri" w:cs="Calibri"/>
          <w:color w:val="222222"/>
          <w:sz w:val="20"/>
          <w:szCs w:val="20"/>
        </w:rPr>
        <w:t>Use this space during the retreat to rough out your own story. Bring it to your next legislator meeting, letter to the editor, or social post.</w:t>
      </w:r>
    </w:p>
    <w:p w14:paraId="26CD2C5B" w14:textId="282B55C2" w:rsidR="004C5DAC" w:rsidRDefault="00E27094" w:rsidP="005E0319">
      <w:pPr>
        <w:spacing w:before="140" w:after="40"/>
        <w:rPr>
          <w:rFonts w:ascii="Calibri" w:eastAsia="Calibri" w:hAnsi="Calibri" w:cs="Calibri"/>
          <w:b/>
          <w:bCs/>
          <w:color w:val="0A3D62"/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color w:val="0A3D62"/>
          <w:sz w:val="20"/>
          <w:szCs w:val="20"/>
        </w:rPr>
        <w:pict w14:anchorId="2185BDE2">
          <v:rect id="_x0000_i1025" alt="" style="width:540pt;height:.05pt;mso-width-percent:0;mso-height-percent:0;mso-width-percent:0;mso-height-percent:0" o:hralign="center" o:hrstd="t" o:hr="t" fillcolor="#a0a0a0" stroked="f"/>
        </w:pict>
      </w:r>
    </w:p>
    <w:p w14:paraId="651BC251" w14:textId="25541C44" w:rsidR="005E0319" w:rsidRDefault="005E0319" w:rsidP="005E0319">
      <w:pPr>
        <w:spacing w:before="140" w:after="40"/>
      </w:pPr>
      <w:r>
        <w:rPr>
          <w:rFonts w:ascii="Calibri" w:eastAsia="Calibri" w:hAnsi="Calibri" w:cs="Calibri"/>
          <w:b/>
          <w:bCs/>
          <w:color w:val="0A3D62"/>
          <w:sz w:val="20"/>
          <w:szCs w:val="20"/>
        </w:rPr>
        <w:t>The Moment:</w:t>
      </w:r>
      <w:r>
        <w:rPr>
          <w:rFonts w:ascii="Calibri" w:eastAsia="Calibri" w:hAnsi="Calibri" w:cs="Calibri"/>
          <w:i/>
          <w:iCs/>
          <w:color w:val="555555"/>
          <w:sz w:val="17"/>
          <w:szCs w:val="17"/>
        </w:rPr>
        <w:t xml:space="preserve">  One specific, concrete experience.</w:t>
      </w:r>
    </w:p>
    <w:p w14:paraId="74FA9588" w14:textId="77777777" w:rsidR="005E0319" w:rsidRDefault="005E0319" w:rsidP="005E0319">
      <w:pPr>
        <w:pBdr>
          <w:bottom w:val="single" w:sz="4" w:space="1" w:color="999999"/>
        </w:pBdr>
        <w:spacing w:after="220"/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4C478920" w14:textId="09E95E3A" w:rsidR="005E0319" w:rsidRDefault="005E0319" w:rsidP="005E0319">
      <w:pPr>
        <w:pBdr>
          <w:bottom w:val="single" w:sz="4" w:space="1" w:color="999999"/>
        </w:pBdr>
        <w:spacing w:after="2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58D07B42" w14:textId="77777777" w:rsidR="005E0319" w:rsidRDefault="005E0319" w:rsidP="005E0319">
      <w:pPr>
        <w:pBdr>
          <w:bottom w:val="single" w:sz="4" w:space="1" w:color="999999"/>
        </w:pBdr>
        <w:spacing w:after="220"/>
      </w:pPr>
    </w:p>
    <w:p w14:paraId="6F64813D" w14:textId="77777777" w:rsidR="005E0319" w:rsidRDefault="005E0319" w:rsidP="005E0319">
      <w:pPr>
        <w:pBdr>
          <w:bottom w:val="single" w:sz="4" w:space="1" w:color="999999"/>
        </w:pBdr>
        <w:spacing w:after="220"/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7DBF0195" w14:textId="06B92C42" w:rsidR="005E0319" w:rsidRDefault="005E0319" w:rsidP="005E0319">
      <w:pPr>
        <w:spacing w:before="140" w:after="40"/>
      </w:pPr>
      <w:r>
        <w:rPr>
          <w:rFonts w:ascii="Calibri" w:eastAsia="Calibri" w:hAnsi="Calibri" w:cs="Calibri"/>
          <w:b/>
          <w:bCs/>
          <w:color w:val="0A3D62"/>
          <w:sz w:val="20"/>
          <w:szCs w:val="20"/>
        </w:rPr>
        <w:t>The Stakes:</w:t>
      </w:r>
      <w:r>
        <w:rPr>
          <w:rFonts w:ascii="Calibri" w:eastAsia="Calibri" w:hAnsi="Calibri" w:cs="Calibri"/>
          <w:i/>
          <w:iCs/>
          <w:color w:val="555555"/>
          <w:sz w:val="17"/>
          <w:szCs w:val="17"/>
        </w:rPr>
        <w:t xml:space="preserve">  What's at risk — for you, your family, or t</w:t>
      </w:r>
      <w:r w:rsidR="004C5DAC">
        <w:rPr>
          <w:rFonts w:ascii="Calibri" w:eastAsia="Calibri" w:hAnsi="Calibri" w:cs="Calibri"/>
          <w:i/>
          <w:iCs/>
          <w:color w:val="555555"/>
          <w:sz w:val="17"/>
          <w:szCs w:val="17"/>
        </w:rPr>
        <w:t>he people</w:t>
      </w:r>
      <w:r>
        <w:rPr>
          <w:rFonts w:ascii="Calibri" w:eastAsia="Calibri" w:hAnsi="Calibri" w:cs="Calibri"/>
          <w:i/>
          <w:iCs/>
          <w:color w:val="555555"/>
          <w:sz w:val="17"/>
          <w:szCs w:val="17"/>
        </w:rPr>
        <w:t xml:space="preserve"> you</w:t>
      </w:r>
      <w:r>
        <w:rPr>
          <w:rFonts w:ascii="Calibri" w:eastAsia="Calibri" w:hAnsi="Calibri" w:cs="Calibri"/>
          <w:i/>
          <w:iCs/>
          <w:color w:val="555555"/>
          <w:sz w:val="17"/>
          <w:szCs w:val="17"/>
        </w:rPr>
        <w:t>r organization</w:t>
      </w:r>
      <w:r>
        <w:rPr>
          <w:rFonts w:ascii="Calibri" w:eastAsia="Calibri" w:hAnsi="Calibri" w:cs="Calibri"/>
          <w:i/>
          <w:iCs/>
          <w:color w:val="555555"/>
          <w:sz w:val="17"/>
          <w:szCs w:val="17"/>
        </w:rPr>
        <w:t xml:space="preserve"> serve</w:t>
      </w:r>
      <w:r>
        <w:rPr>
          <w:rFonts w:ascii="Calibri" w:eastAsia="Calibri" w:hAnsi="Calibri" w:cs="Calibri"/>
          <w:i/>
          <w:iCs/>
          <w:color w:val="555555"/>
          <w:sz w:val="17"/>
          <w:szCs w:val="17"/>
        </w:rPr>
        <w:t>s</w:t>
      </w:r>
      <w:r>
        <w:rPr>
          <w:rFonts w:ascii="Calibri" w:eastAsia="Calibri" w:hAnsi="Calibri" w:cs="Calibri"/>
          <w:i/>
          <w:iCs/>
          <w:color w:val="555555"/>
          <w:sz w:val="17"/>
          <w:szCs w:val="17"/>
        </w:rPr>
        <w:t>?</w:t>
      </w:r>
    </w:p>
    <w:p w14:paraId="23ACBE39" w14:textId="77777777" w:rsidR="005E0319" w:rsidRDefault="005E0319" w:rsidP="005E0319">
      <w:pPr>
        <w:pBdr>
          <w:bottom w:val="single" w:sz="4" w:space="1" w:color="999999"/>
        </w:pBdr>
        <w:spacing w:after="220"/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350A4562" w14:textId="511588EA" w:rsidR="005E0319" w:rsidRDefault="005E0319" w:rsidP="005E0319">
      <w:pPr>
        <w:pBdr>
          <w:bottom w:val="single" w:sz="4" w:space="1" w:color="999999"/>
        </w:pBdr>
        <w:spacing w:after="2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42324F1A" w14:textId="77777777" w:rsidR="005E0319" w:rsidRDefault="005E0319" w:rsidP="005E0319">
      <w:pPr>
        <w:pBdr>
          <w:bottom w:val="single" w:sz="4" w:space="1" w:color="999999"/>
        </w:pBdr>
        <w:spacing w:after="220"/>
      </w:pPr>
    </w:p>
    <w:p w14:paraId="66148EAD" w14:textId="77777777" w:rsidR="005E0319" w:rsidRDefault="005E0319" w:rsidP="005E0319">
      <w:pPr>
        <w:pBdr>
          <w:bottom w:val="single" w:sz="4" w:space="1" w:color="999999"/>
        </w:pBdr>
        <w:spacing w:after="220"/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3DB26707" w14:textId="77777777" w:rsidR="005E0319" w:rsidRDefault="005E0319" w:rsidP="005E0319">
      <w:pPr>
        <w:spacing w:before="140" w:after="40"/>
      </w:pPr>
      <w:r>
        <w:rPr>
          <w:rFonts w:ascii="Calibri" w:eastAsia="Calibri" w:hAnsi="Calibri" w:cs="Calibri"/>
          <w:b/>
          <w:bCs/>
          <w:color w:val="0A3D62"/>
          <w:sz w:val="20"/>
          <w:szCs w:val="20"/>
        </w:rPr>
        <w:t>The Ask:</w:t>
      </w:r>
      <w:r>
        <w:rPr>
          <w:rFonts w:ascii="Calibri" w:eastAsia="Calibri" w:hAnsi="Calibri" w:cs="Calibri"/>
          <w:i/>
          <w:iCs/>
          <w:color w:val="555555"/>
          <w:sz w:val="17"/>
          <w:szCs w:val="17"/>
        </w:rPr>
        <w:t xml:space="preserve">  What do you want the listener to do?</w:t>
      </w:r>
    </w:p>
    <w:p w14:paraId="00274BC4" w14:textId="77777777" w:rsidR="005E0319" w:rsidRDefault="005E0319" w:rsidP="005E0319">
      <w:pPr>
        <w:pBdr>
          <w:bottom w:val="single" w:sz="4" w:space="1" w:color="999999"/>
        </w:pBdr>
        <w:spacing w:after="220"/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7E9257F8" w14:textId="1F1166F9" w:rsidR="005E0319" w:rsidRDefault="005E0319" w:rsidP="005E0319">
      <w:pPr>
        <w:pBdr>
          <w:bottom w:val="single" w:sz="4" w:space="1" w:color="999999"/>
        </w:pBdr>
        <w:spacing w:after="2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79A81FB7" w14:textId="77777777" w:rsidR="005E0319" w:rsidRDefault="005E0319" w:rsidP="005E0319">
      <w:pPr>
        <w:pBdr>
          <w:bottom w:val="single" w:sz="4" w:space="1" w:color="999999"/>
        </w:pBdr>
        <w:spacing w:after="220"/>
      </w:pPr>
    </w:p>
    <w:p w14:paraId="4F45C705" w14:textId="77777777" w:rsidR="005E0319" w:rsidRDefault="005E0319" w:rsidP="005E0319">
      <w:pPr>
        <w:pBdr>
          <w:bottom w:val="single" w:sz="4" w:space="1" w:color="999999"/>
        </w:pBdr>
        <w:spacing w:after="220"/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42F0F1B1" w14:textId="77777777" w:rsidR="005E0319" w:rsidRDefault="005E0319" w:rsidP="005E0319">
      <w:pPr>
        <w:spacing w:before="140" w:after="40"/>
      </w:pPr>
      <w:r>
        <w:rPr>
          <w:rFonts w:ascii="Calibri" w:eastAsia="Calibri" w:hAnsi="Calibri" w:cs="Calibri"/>
          <w:b/>
          <w:bCs/>
          <w:color w:val="0A3D62"/>
          <w:sz w:val="20"/>
          <w:szCs w:val="20"/>
        </w:rPr>
        <w:t>The Connection:</w:t>
      </w:r>
      <w:r>
        <w:rPr>
          <w:rFonts w:ascii="Calibri" w:eastAsia="Calibri" w:hAnsi="Calibri" w:cs="Calibri"/>
          <w:i/>
          <w:iCs/>
          <w:color w:val="555555"/>
          <w:sz w:val="17"/>
          <w:szCs w:val="17"/>
        </w:rPr>
        <w:t xml:space="preserve">  How does this affect other Tennesseans, too?</w:t>
      </w:r>
    </w:p>
    <w:p w14:paraId="3074FC34" w14:textId="41D5B7B3" w:rsidR="005E0319" w:rsidRDefault="005E0319" w:rsidP="005E0319">
      <w:pPr>
        <w:pBdr>
          <w:bottom w:val="single" w:sz="4" w:space="1" w:color="999999"/>
        </w:pBdr>
        <w:spacing w:after="2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3EF5308F" w14:textId="77777777" w:rsidR="005E0319" w:rsidRDefault="005E0319" w:rsidP="005E0319">
      <w:pPr>
        <w:pBdr>
          <w:bottom w:val="single" w:sz="4" w:space="1" w:color="999999"/>
        </w:pBdr>
        <w:spacing w:after="220"/>
      </w:pPr>
    </w:p>
    <w:p w14:paraId="12FC15C2" w14:textId="77777777" w:rsidR="005E0319" w:rsidRDefault="005E0319" w:rsidP="005E0319">
      <w:pPr>
        <w:pBdr>
          <w:bottom w:val="single" w:sz="4" w:space="1" w:color="999999"/>
        </w:pBdr>
        <w:spacing w:after="220"/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032CDA75" w14:textId="35944B47" w:rsidR="005E0319" w:rsidRDefault="005E0319" w:rsidP="005E0319">
      <w:pPr>
        <w:pBdr>
          <w:bottom w:val="single" w:sz="4" w:space="1" w:color="999999"/>
        </w:pBdr>
        <w:spacing w:after="2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1518B6CA" w14:textId="77777777" w:rsidR="005E0319" w:rsidRDefault="005E0319" w:rsidP="005E0319">
      <w:pPr>
        <w:pBdr>
          <w:bottom w:val="single" w:sz="4" w:space="1" w:color="999999"/>
        </w:pBdr>
        <w:spacing w:after="220"/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</w:pPr>
    </w:p>
    <w:p w14:paraId="133F7467" w14:textId="0C35B351" w:rsidR="005E0319" w:rsidRDefault="005E0319" w:rsidP="005E0319">
      <w:pPr>
        <w:pBdr>
          <w:bottom w:val="single" w:sz="6" w:space="4" w:color="0072CE"/>
        </w:pBdr>
        <w:spacing w:before="260" w:after="100"/>
      </w:pPr>
      <w:r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  <w:lastRenderedPageBreak/>
        <w:t>MEETING WITH YOUR LEGISLATOR (IN-PERSON OR VIRTUAL)</w:t>
      </w:r>
    </w:p>
    <w:p w14:paraId="04615E5A" w14:textId="77777777" w:rsidR="005E0319" w:rsidRDefault="005E0319" w:rsidP="005E0319">
      <w:pPr>
        <w:spacing w:after="140"/>
      </w:pPr>
      <w:r>
        <w:rPr>
          <w:rFonts w:ascii="Calibri" w:eastAsia="Calibri" w:hAnsi="Calibri" w:cs="Calibri"/>
          <w:color w:val="222222"/>
          <w:sz w:val="20"/>
          <w:szCs w:val="20"/>
        </w:rPr>
        <w:t>You are the expert on your own life and experience — that's exactly what they need to hear. Keep it brief; many meetings run 5 minutes or less.</w:t>
      </w:r>
    </w:p>
    <w:p w14:paraId="266D4863" w14:textId="77777777" w:rsidR="005E0319" w:rsidRDefault="005E0319" w:rsidP="005E0319">
      <w:pPr>
        <w:spacing w:after="60"/>
      </w:pPr>
      <w:r>
        <w:rPr>
          <w:rFonts w:ascii="Calibri" w:eastAsia="Calibri" w:hAnsi="Calibri" w:cs="Calibri"/>
          <w:b/>
          <w:bCs/>
          <w:color w:val="0072CE"/>
          <w:sz w:val="20"/>
          <w:szCs w:val="20"/>
        </w:rPr>
        <w:t>BEFORE</w:t>
      </w:r>
    </w:p>
    <w:p w14:paraId="497EBF74" w14:textId="7B78C960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222222"/>
        </w:rPr>
        <w:t xml:space="preserve">Find your legislator and their committee assignments at </w:t>
      </w:r>
      <w:hyperlink r:id="rId5" w:history="1">
        <w:r w:rsidRPr="005D4025">
          <w:rPr>
            <w:rStyle w:val="Hyperlink"/>
            <w:rFonts w:ascii="Calibri" w:eastAsia="Calibri" w:hAnsi="Calibri" w:cs="Calibri"/>
          </w:rPr>
          <w:t>capitol.tn.gov</w:t>
        </w:r>
      </w:hyperlink>
      <w:r>
        <w:rPr>
          <w:rFonts w:ascii="Calibri" w:eastAsia="Calibri" w:hAnsi="Calibri" w:cs="Calibri"/>
          <w:color w:val="222222"/>
        </w:rPr>
        <w:t>.</w:t>
      </w:r>
    </w:p>
    <w:p w14:paraId="1E83958B" w14:textId="77777777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222222"/>
        </w:rPr>
        <w:t>You can meet with legislators outside your own district, too — it's about finding the right committee chair.</w:t>
      </w:r>
    </w:p>
    <w:p w14:paraId="390CA527" w14:textId="77777777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222222"/>
        </w:rPr>
        <w:t>Virtual meeting? Test camera/mic 10 minutes early, sit facing your light source, dress as you would in person, and keep a phone nearby as backup.</w:t>
      </w:r>
    </w:p>
    <w:p w14:paraId="352890BA" w14:textId="77777777" w:rsidR="005E0319" w:rsidRDefault="005E0319" w:rsidP="005E0319">
      <w:pPr>
        <w:spacing w:before="140" w:after="60"/>
      </w:pPr>
      <w:r>
        <w:rPr>
          <w:rFonts w:ascii="Calibri" w:eastAsia="Calibri" w:hAnsi="Calibri" w:cs="Calibri"/>
          <w:b/>
          <w:bCs/>
          <w:color w:val="0072CE"/>
          <w:sz w:val="20"/>
          <w:szCs w:val="20"/>
        </w:rPr>
        <w:t>DURING</w:t>
      </w:r>
    </w:p>
    <w:p w14:paraId="7044F4F4" w14:textId="77777777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b/>
          <w:bCs/>
          <w:color w:val="222222"/>
        </w:rPr>
        <w:t xml:space="preserve">Introduce yourself: </w:t>
      </w:r>
      <w:r>
        <w:rPr>
          <w:rFonts w:ascii="Calibri" w:eastAsia="Calibri" w:hAnsi="Calibri" w:cs="Calibri"/>
          <w:color w:val="222222"/>
        </w:rPr>
        <w:t>Your name, your city, and one sentence on why you're here.</w:t>
      </w:r>
    </w:p>
    <w:p w14:paraId="20761620" w14:textId="77777777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b/>
          <w:bCs/>
          <w:color w:val="222222"/>
        </w:rPr>
        <w:t xml:space="preserve">Tell your story: </w:t>
      </w:r>
      <w:r>
        <w:rPr>
          <w:rFonts w:ascii="Calibri" w:eastAsia="Calibri" w:hAnsi="Calibri" w:cs="Calibri"/>
          <w:color w:val="222222"/>
        </w:rPr>
        <w:t>One specific, real, human experience — yours.</w:t>
      </w:r>
    </w:p>
    <w:p w14:paraId="6D3B893D" w14:textId="0E454A16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b/>
          <w:bCs/>
          <w:color w:val="222222"/>
        </w:rPr>
        <w:t xml:space="preserve">Connect to policy: </w:t>
      </w:r>
      <w:r>
        <w:rPr>
          <w:rFonts w:ascii="Calibri" w:eastAsia="Calibri" w:hAnsi="Calibri" w:cs="Calibri"/>
          <w:color w:val="222222"/>
        </w:rPr>
        <w:t>How a bill, policy, or budget decision affects people like you</w:t>
      </w:r>
      <w:r w:rsidR="005D4025">
        <w:rPr>
          <w:rFonts w:ascii="Calibri" w:eastAsia="Calibri" w:hAnsi="Calibri" w:cs="Calibri"/>
          <w:color w:val="222222"/>
        </w:rPr>
        <w:t xml:space="preserve">/your organization. </w:t>
      </w:r>
      <w:bookmarkStart w:id="0" w:name="_GoBack"/>
      <w:bookmarkEnd w:id="0"/>
    </w:p>
    <w:p w14:paraId="200CCB2B" w14:textId="77777777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b/>
          <w:bCs/>
          <w:color w:val="222222"/>
        </w:rPr>
        <w:t xml:space="preserve">Make your ask: </w:t>
      </w:r>
      <w:r>
        <w:rPr>
          <w:rFonts w:ascii="Calibri" w:eastAsia="Calibri" w:hAnsi="Calibri" w:cs="Calibri"/>
          <w:color w:val="222222"/>
        </w:rPr>
        <w:t>One clear, specific request — vote yes, co-sponsor, schedule a follow-up.</w:t>
      </w:r>
    </w:p>
    <w:p w14:paraId="25DAFA94" w14:textId="77777777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b/>
          <w:bCs/>
          <w:color w:val="222222"/>
        </w:rPr>
        <w:t xml:space="preserve">Say thank you: </w:t>
      </w:r>
      <w:r>
        <w:rPr>
          <w:rFonts w:ascii="Calibri" w:eastAsia="Calibri" w:hAnsi="Calibri" w:cs="Calibri"/>
          <w:color w:val="222222"/>
        </w:rPr>
        <w:t>Thank the legislator and their staff — staff brief the legislator before and after your meeting.</w:t>
      </w:r>
    </w:p>
    <w:p w14:paraId="5CCBBDF4" w14:textId="77777777" w:rsidR="005E0319" w:rsidRDefault="005E0319" w:rsidP="005E0319">
      <w:pPr>
        <w:spacing w:before="140" w:after="60"/>
      </w:pPr>
      <w:r>
        <w:rPr>
          <w:rFonts w:ascii="Calibri" w:eastAsia="Calibri" w:hAnsi="Calibri" w:cs="Calibri"/>
          <w:b/>
          <w:bCs/>
          <w:color w:val="0072CE"/>
          <w:sz w:val="20"/>
          <w:szCs w:val="20"/>
        </w:rPr>
        <w:t>AFTER</w:t>
      </w:r>
    </w:p>
    <w:p w14:paraId="0F4330B4" w14:textId="77777777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222222"/>
        </w:rPr>
        <w:t>Follow your legislator on social media and engage when they post on relevant topics.</w:t>
      </w:r>
    </w:p>
    <w:p w14:paraId="1FB034EC" w14:textId="77777777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222222"/>
        </w:rPr>
        <w:t>Relationships are built over time, not in a single meeting.</w:t>
      </w:r>
    </w:p>
    <w:p w14:paraId="45EAF8CE" w14:textId="77777777" w:rsidR="005E0319" w:rsidRDefault="005E0319" w:rsidP="005E0319">
      <w:pPr>
        <w:spacing w:before="200"/>
      </w:pPr>
    </w:p>
    <w:tbl>
      <w:tblPr>
        <w:tblW w:w="5000" w:type="pct"/>
        <w:tblBorders>
          <w:top w:val="single" w:sz="8" w:space="0" w:color="0072CE"/>
          <w:left w:val="single" w:sz="8" w:space="0" w:color="0072CE"/>
          <w:bottom w:val="single" w:sz="8" w:space="0" w:color="0072CE"/>
          <w:right w:val="single" w:sz="8" w:space="0" w:color="0072CE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80"/>
      </w:tblGrid>
      <w:tr w:rsidR="005E0319" w14:paraId="05273F64" w14:textId="77777777" w:rsidTr="00B16F9E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AF4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6257E414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22"/>
                <w:szCs w:val="22"/>
              </w:rPr>
              <w:t>THE #1 TACTIC: A PHOTO + A HANDWRITTEN NOTE</w:t>
            </w:r>
          </w:p>
          <w:p w14:paraId="60D5CD06" w14:textId="77777777" w:rsidR="005E0319" w:rsidRDefault="005E0319" w:rsidP="00B16F9E">
            <w:pPr>
              <w:spacing w:before="8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Mail a printed photo from your visit with a one- or two-sentence handwritten note, ideally within 48 hours. It's rare, human, and hard to forget — staff genuinely appreciate these, and they often end up on office walls. Do this every time. (Email is fine if that's truly your only option — but it's a distant second.)</w:t>
            </w:r>
          </w:p>
        </w:tc>
      </w:tr>
    </w:tbl>
    <w:p w14:paraId="34F73691" w14:textId="77777777" w:rsidR="005E0319" w:rsidRDefault="005E0319" w:rsidP="005E0319"/>
    <w:p w14:paraId="0AF51958" w14:textId="77777777" w:rsidR="005E0319" w:rsidRDefault="005E0319" w:rsidP="005E0319">
      <w:pPr>
        <w:pBdr>
          <w:bottom w:val="single" w:sz="6" w:space="4" w:color="0072CE"/>
        </w:pBdr>
        <w:spacing w:before="260" w:after="100"/>
      </w:pPr>
      <w:r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  <w:t>LETTERS TO THE EDITOR</w:t>
      </w:r>
    </w:p>
    <w:p w14:paraId="77D9EF13" w14:textId="77777777" w:rsidR="005E0319" w:rsidRDefault="005E0319" w:rsidP="005E0319">
      <w:pPr>
        <w:spacing w:after="120"/>
      </w:pPr>
      <w:r>
        <w:rPr>
          <w:rFonts w:ascii="Calibri" w:eastAsia="Calibri" w:hAnsi="Calibri" w:cs="Calibri"/>
          <w:color w:val="222222"/>
          <w:sz w:val="20"/>
          <w:szCs w:val="20"/>
        </w:rPr>
        <w:t>Among the most-read sections of any newspaper — and legislators pay close attention to them as a direct signal of constituent opinion.</w:t>
      </w:r>
    </w:p>
    <w:p w14:paraId="7EB5AF40" w14:textId="77777777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b/>
          <w:bCs/>
          <w:color w:val="222222"/>
        </w:rPr>
        <w:t xml:space="preserve">Keep it under 250 words: </w:t>
      </w:r>
      <w:r>
        <w:rPr>
          <w:rFonts w:ascii="Calibri" w:eastAsia="Calibri" w:hAnsi="Calibri" w:cs="Calibri"/>
          <w:color w:val="222222"/>
        </w:rPr>
        <w:t>Editors enforce it strictly.</w:t>
      </w:r>
    </w:p>
    <w:p w14:paraId="1B111420" w14:textId="77777777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b/>
          <w:bCs/>
          <w:color w:val="222222"/>
        </w:rPr>
        <w:t xml:space="preserve">Lead with your most important point: </w:t>
      </w:r>
      <w:r>
        <w:rPr>
          <w:rFonts w:ascii="Calibri" w:eastAsia="Calibri" w:hAnsi="Calibri" w:cs="Calibri"/>
          <w:color w:val="222222"/>
        </w:rPr>
        <w:t>Get to the point immediately.</w:t>
      </w:r>
    </w:p>
    <w:p w14:paraId="793DDC6C" w14:textId="77777777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b/>
          <w:bCs/>
          <w:color w:val="222222"/>
        </w:rPr>
        <w:t xml:space="preserve">Use your real name and city: </w:t>
      </w:r>
      <w:r>
        <w:rPr>
          <w:rFonts w:ascii="Calibri" w:eastAsia="Calibri" w:hAnsi="Calibri" w:cs="Calibri"/>
          <w:color w:val="222222"/>
        </w:rPr>
        <w:t>Anonymous letters carry less weight and are rarely printed.</w:t>
      </w:r>
    </w:p>
    <w:p w14:paraId="553E2267" w14:textId="77777777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b/>
          <w:bCs/>
          <w:color w:val="222222"/>
        </w:rPr>
        <w:t xml:space="preserve">Reference a recent story, bill, or vote: </w:t>
      </w:r>
      <w:r>
        <w:rPr>
          <w:rFonts w:ascii="Calibri" w:eastAsia="Calibri" w:hAnsi="Calibri" w:cs="Calibri"/>
          <w:color w:val="222222"/>
        </w:rPr>
        <w:t>Increases your odds of publication.</w:t>
      </w:r>
    </w:p>
    <w:p w14:paraId="4BBABD55" w14:textId="77777777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b/>
          <w:bCs/>
          <w:color w:val="222222"/>
        </w:rPr>
        <w:t xml:space="preserve">Submit promptly: </w:t>
      </w:r>
      <w:r>
        <w:rPr>
          <w:rFonts w:ascii="Calibri" w:eastAsia="Calibri" w:hAnsi="Calibri" w:cs="Calibri"/>
          <w:color w:val="222222"/>
        </w:rPr>
        <w:t>Check each paper's guidelines and submit online.</w:t>
      </w:r>
    </w:p>
    <w:p w14:paraId="55FE3FA4" w14:textId="77777777" w:rsidR="005E0319" w:rsidRDefault="005E0319" w:rsidP="005E0319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b/>
          <w:bCs/>
          <w:color w:val="222222"/>
        </w:rPr>
        <w:t xml:space="preserve">Coordinate for impact: </w:t>
      </w:r>
      <w:r>
        <w:rPr>
          <w:rFonts w:ascii="Calibri" w:eastAsia="Calibri" w:hAnsi="Calibri" w:cs="Calibri"/>
          <w:color w:val="222222"/>
        </w:rPr>
        <w:t>One letter is good; ten on the same topic in the same week is a movement. Coordinate with families, advocates, and partner orgs — and vary the writers and angles so it doesn't read as copy-paste.</w:t>
      </w:r>
    </w:p>
    <w:p w14:paraId="2AE50884" w14:textId="67923688" w:rsidR="005E0319" w:rsidRDefault="005E0319" w:rsidP="005E0319">
      <w:pPr>
        <w:pBdr>
          <w:bottom w:val="single" w:sz="6" w:space="4" w:color="0072CE"/>
        </w:pBdr>
        <w:spacing w:before="260" w:after="100"/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</w:pPr>
    </w:p>
    <w:p w14:paraId="6F42F797" w14:textId="7721432E" w:rsidR="005E0319" w:rsidRDefault="005E0319" w:rsidP="005E0319">
      <w:pPr>
        <w:pBdr>
          <w:bottom w:val="single" w:sz="6" w:space="4" w:color="0072CE"/>
        </w:pBdr>
        <w:spacing w:before="260" w:after="100"/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</w:pPr>
    </w:p>
    <w:p w14:paraId="521B2822" w14:textId="76DF73E5" w:rsidR="005E0319" w:rsidRDefault="005E0319" w:rsidP="005E0319">
      <w:pPr>
        <w:pBdr>
          <w:bottom w:val="single" w:sz="6" w:space="4" w:color="0072CE"/>
        </w:pBdr>
        <w:spacing w:before="260" w:after="100"/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</w:pPr>
    </w:p>
    <w:p w14:paraId="756E0655" w14:textId="18F5EBAF" w:rsidR="005E0319" w:rsidRDefault="005E0319" w:rsidP="005E0319">
      <w:pPr>
        <w:pBdr>
          <w:bottom w:val="single" w:sz="6" w:space="4" w:color="0072CE"/>
        </w:pBdr>
        <w:spacing w:before="260" w:after="100"/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</w:pPr>
    </w:p>
    <w:p w14:paraId="2D5F5558" w14:textId="77777777" w:rsidR="005E0319" w:rsidRDefault="005E0319" w:rsidP="005E0319">
      <w:pPr>
        <w:pBdr>
          <w:bottom w:val="single" w:sz="6" w:space="4" w:color="0072CE"/>
        </w:pBdr>
        <w:spacing w:before="260" w:after="100"/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</w:pPr>
    </w:p>
    <w:p w14:paraId="05DE7984" w14:textId="77777777" w:rsidR="005E0319" w:rsidRDefault="005E0319" w:rsidP="005E0319">
      <w:pPr>
        <w:pBdr>
          <w:bottom w:val="single" w:sz="6" w:space="4" w:color="0072CE"/>
        </w:pBdr>
        <w:spacing w:before="260" w:after="100"/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</w:pPr>
    </w:p>
    <w:p w14:paraId="15DC67A6" w14:textId="2F8469E0" w:rsidR="005E0319" w:rsidRDefault="005E0319" w:rsidP="005E0319">
      <w:pPr>
        <w:pBdr>
          <w:bottom w:val="single" w:sz="6" w:space="4" w:color="0072CE"/>
        </w:pBdr>
        <w:spacing w:before="260" w:after="100"/>
      </w:pPr>
      <w:r>
        <w:rPr>
          <w:rFonts w:ascii="Calibri" w:eastAsia="Calibri" w:hAnsi="Calibri" w:cs="Calibri"/>
          <w:b/>
          <w:bCs/>
          <w:color w:val="0072CE"/>
          <w:spacing w:val="10"/>
          <w:sz w:val="22"/>
          <w:szCs w:val="22"/>
        </w:rPr>
        <w:lastRenderedPageBreak/>
        <w:t>SOCIAL MEDIA CHEAT SHEET</w:t>
      </w:r>
    </w:p>
    <w:tbl>
      <w:tblPr>
        <w:tblW w:w="5000" w:type="pct"/>
        <w:tblBorders>
          <w:insideH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5"/>
        <w:gridCol w:w="8685"/>
      </w:tblGrid>
      <w:tr w:rsidR="005E0319" w14:paraId="2CE8848D" w14:textId="77777777" w:rsidTr="00B16F9E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90" w:type="dxa"/>
              <w:left w:w="0" w:type="dxa"/>
              <w:bottom w:w="90" w:type="dxa"/>
              <w:right w:w="100" w:type="dxa"/>
            </w:tcMar>
            <w:vAlign w:val="center"/>
          </w:tcPr>
          <w:p w14:paraId="43810274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Facebook</w:t>
            </w:r>
          </w:p>
        </w:tc>
        <w:tc>
          <w:tcPr>
            <w:tcW w:w="7800" w:type="dxa"/>
            <w:tcMar>
              <w:top w:w="90" w:type="dxa"/>
              <w:left w:w="100" w:type="dxa"/>
              <w:bottom w:w="90" w:type="dxa"/>
              <w:right w:w="0" w:type="dxa"/>
            </w:tcMar>
            <w:vAlign w:val="center"/>
          </w:tcPr>
          <w:p w14:paraId="4747E9FE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Families, community groups, local news pages. Best for longer posts and photo albums. Tag your legislator — pages are public.</w:t>
            </w:r>
          </w:p>
        </w:tc>
      </w:tr>
      <w:tr w:rsidR="005E0319" w14:paraId="66658293" w14:textId="77777777" w:rsidTr="00B16F9E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90" w:type="dxa"/>
              <w:left w:w="0" w:type="dxa"/>
              <w:bottom w:w="90" w:type="dxa"/>
              <w:right w:w="100" w:type="dxa"/>
            </w:tcMar>
            <w:vAlign w:val="center"/>
          </w:tcPr>
          <w:p w14:paraId="6F31CF70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X (Twitter)</w:t>
            </w:r>
          </w:p>
        </w:tc>
        <w:tc>
          <w:tcPr>
            <w:tcW w:w="7800" w:type="dxa"/>
            <w:tcMar>
              <w:top w:w="90" w:type="dxa"/>
              <w:left w:w="100" w:type="dxa"/>
              <w:bottom w:w="90" w:type="dxa"/>
              <w:right w:w="0" w:type="dxa"/>
            </w:tcMar>
            <w:vAlign w:val="center"/>
          </w:tcPr>
          <w:p w14:paraId="64F0010F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Quick reactions to legislative news. Tag @</w:t>
            </w:r>
            <w:proofErr w:type="spellStart"/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TNSenate</w:t>
            </w:r>
            <w:proofErr w:type="spellEnd"/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, @</w:t>
            </w:r>
            <w:proofErr w:type="spellStart"/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TNHouseGOP</w:t>
            </w:r>
            <w:proofErr w:type="spellEnd"/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, or your legislator. Use #</w:t>
            </w:r>
            <w:proofErr w:type="spellStart"/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TNLeg</w:t>
            </w:r>
            <w:proofErr w:type="spellEnd"/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.</w:t>
            </w:r>
          </w:p>
        </w:tc>
      </w:tr>
      <w:tr w:rsidR="005E0319" w14:paraId="2E73BC4D" w14:textId="77777777" w:rsidTr="00B16F9E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90" w:type="dxa"/>
              <w:left w:w="0" w:type="dxa"/>
              <w:bottom w:w="90" w:type="dxa"/>
              <w:right w:w="100" w:type="dxa"/>
            </w:tcMar>
            <w:vAlign w:val="center"/>
          </w:tcPr>
          <w:p w14:paraId="5F4F3158" w14:textId="77777777" w:rsidR="005E0319" w:rsidRDefault="005E0319" w:rsidP="00B16F9E"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Instagram</w:t>
            </w:r>
          </w:p>
        </w:tc>
        <w:tc>
          <w:tcPr>
            <w:tcW w:w="7800" w:type="dxa"/>
            <w:tcMar>
              <w:top w:w="90" w:type="dxa"/>
              <w:left w:w="100" w:type="dxa"/>
              <w:bottom w:w="90" w:type="dxa"/>
              <w:right w:w="0" w:type="dxa"/>
            </w:tcMar>
            <w:vAlign w:val="center"/>
          </w:tcPr>
          <w:p w14:paraId="7C24E50A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Photo + 3–5 sentence caption. A strong photo can reach far beyond your followers via shares and hashtags.</w:t>
            </w:r>
          </w:p>
        </w:tc>
      </w:tr>
      <w:tr w:rsidR="005E0319" w14:paraId="6194CECD" w14:textId="77777777" w:rsidTr="00B16F9E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90" w:type="dxa"/>
              <w:left w:w="0" w:type="dxa"/>
              <w:bottom w:w="90" w:type="dxa"/>
              <w:right w:w="100" w:type="dxa"/>
            </w:tcMar>
            <w:vAlign w:val="center"/>
          </w:tcPr>
          <w:p w14:paraId="290B9FA1" w14:textId="77777777" w:rsidR="005E0319" w:rsidRDefault="005E0319" w:rsidP="00B16F9E">
            <w:proofErr w:type="spellStart"/>
            <w:r>
              <w:rPr>
                <w:rFonts w:ascii="Calibri" w:eastAsia="Calibri" w:hAnsi="Calibri" w:cs="Calibri"/>
                <w:b/>
                <w:bCs/>
                <w:color w:val="0A3D62"/>
                <w:sz w:val="19"/>
                <w:szCs w:val="19"/>
              </w:rPr>
              <w:t>TikTok</w:t>
            </w:r>
            <w:proofErr w:type="spellEnd"/>
          </w:p>
        </w:tc>
        <w:tc>
          <w:tcPr>
            <w:tcW w:w="7800" w:type="dxa"/>
            <w:tcMar>
              <w:top w:w="90" w:type="dxa"/>
              <w:left w:w="100" w:type="dxa"/>
              <w:bottom w:w="90" w:type="dxa"/>
              <w:right w:w="0" w:type="dxa"/>
            </w:tcMar>
            <w:vAlign w:val="center"/>
          </w:tcPr>
          <w:p w14:paraId="3DF7AC2B" w14:textId="77777777" w:rsidR="005E0319" w:rsidRDefault="005E0319" w:rsidP="00B16F9E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Short, personal, authentic video. Production value isn't the point — authenticity is.</w:t>
            </w:r>
          </w:p>
        </w:tc>
      </w:tr>
    </w:tbl>
    <w:p w14:paraId="24CE7EDE" w14:textId="77777777" w:rsidR="005E0319" w:rsidRDefault="005E0319" w:rsidP="005E0319">
      <w:pPr>
        <w:spacing w:before="22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5400"/>
      </w:tblGrid>
      <w:tr w:rsidR="005E0319" w14:paraId="641E4941" w14:textId="77777777" w:rsidTr="00B16F9E">
        <w:tblPrEx>
          <w:tblCellMar>
            <w:top w:w="0" w:type="dxa"/>
            <w:bottom w:w="0" w:type="dxa"/>
          </w:tblCellMar>
        </w:tblPrEx>
        <w:tc>
          <w:tcPr>
            <w:tcW w:w="4850" w:type="dxa"/>
            <w:tcMar>
              <w:top w:w="0" w:type="dxa"/>
              <w:left w:w="0" w:type="dxa"/>
              <w:bottom w:w="0" w:type="dxa"/>
              <w:right w:w="160" w:type="dxa"/>
            </w:tcMar>
          </w:tcPr>
          <w:p w14:paraId="20E5CFCF" w14:textId="77777777" w:rsidR="005E0319" w:rsidRDefault="005E0319" w:rsidP="00B16F9E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E7A3D"/>
                <w:sz w:val="20"/>
                <w:szCs w:val="20"/>
              </w:rPr>
              <w:t>DO</w:t>
            </w:r>
          </w:p>
          <w:p w14:paraId="2B6204C7" w14:textId="77777777" w:rsidR="005E0319" w:rsidRDefault="005E0319" w:rsidP="00B16F9E"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Start with a human moment, not a statistic</w:t>
            </w:r>
          </w:p>
          <w:p w14:paraId="6A5E1231" w14:textId="77777777" w:rsidR="005E0319" w:rsidRDefault="005E0319" w:rsidP="00B16F9E"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Use a photo every time you can</w:t>
            </w:r>
          </w:p>
          <w:p w14:paraId="35ECE214" w14:textId="77777777" w:rsidR="005E0319" w:rsidRDefault="005E0319" w:rsidP="00B16F9E"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Be specific: names, places, dates</w:t>
            </w:r>
          </w:p>
          <w:p w14:paraId="5BA9F1E8" w14:textId="77777777" w:rsidR="005E0319" w:rsidRDefault="005E0319" w:rsidP="00B16F9E"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End with a clear ask (and say thank you)</w:t>
            </w:r>
          </w:p>
          <w:p w14:paraId="21B2268D" w14:textId="77777777" w:rsidR="005E0319" w:rsidRDefault="005E0319" w:rsidP="00B16F9E"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Tag your legislator's official account</w:t>
            </w:r>
          </w:p>
          <w:p w14:paraId="4A7DBDD2" w14:textId="77777777" w:rsidR="005E0319" w:rsidRDefault="005E0319" w:rsidP="00B16F9E"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Use 2–3 relevant hashtags (#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TNLeg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</w:tc>
        <w:tc>
          <w:tcPr>
            <w:tcW w:w="4850" w:type="dxa"/>
            <w:tcMar>
              <w:top w:w="0" w:type="dxa"/>
              <w:left w:w="160" w:type="dxa"/>
              <w:bottom w:w="0" w:type="dxa"/>
              <w:right w:w="0" w:type="dxa"/>
            </w:tcMar>
          </w:tcPr>
          <w:p w14:paraId="54E80FE2" w14:textId="77777777" w:rsidR="005E0319" w:rsidRDefault="005E0319" w:rsidP="00B16F9E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B02418"/>
                <w:sz w:val="20"/>
                <w:szCs w:val="20"/>
              </w:rPr>
              <w:t>DON'T</w:t>
            </w:r>
          </w:p>
          <w:p w14:paraId="65B62ED6" w14:textId="77777777" w:rsidR="005E0319" w:rsidRDefault="005E0319" w:rsidP="00B16F9E"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Open with jargon or acronyms</w:t>
            </w:r>
          </w:p>
          <w:p w14:paraId="192FAA80" w14:textId="77777777" w:rsidR="005E0319" w:rsidRDefault="005E0319" w:rsidP="00B16F9E"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Post an image with no explanation, or an explanation with no image</w:t>
            </w:r>
          </w:p>
          <w:p w14:paraId="54ACB369" w14:textId="77777777" w:rsidR="005E0319" w:rsidRDefault="005E0319" w:rsidP="00B16F9E"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Use vague statements without a concrete ask</w:t>
            </w:r>
          </w:p>
          <w:p w14:paraId="006BA4DB" w14:textId="77777777" w:rsidR="005E0319" w:rsidRDefault="005E0319" w:rsidP="00B16F9E"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Post once and move on</w:t>
            </w:r>
          </w:p>
          <w:p w14:paraId="3CA013A4" w14:textId="77777777" w:rsidR="005E0319" w:rsidRDefault="005E0319" w:rsidP="00B16F9E"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Argue in the comments — redirect to a private message</w:t>
            </w:r>
          </w:p>
        </w:tc>
      </w:tr>
    </w:tbl>
    <w:p w14:paraId="78ED1D46" w14:textId="77777777" w:rsidR="005E0319" w:rsidRDefault="005E0319" w:rsidP="005E0319">
      <w:pPr>
        <w:pBdr>
          <w:top w:val="single" w:sz="8" w:space="8" w:color="0072CE"/>
        </w:pBdr>
        <w:spacing w:before="300" w:after="60"/>
      </w:pPr>
      <w:r>
        <w:rPr>
          <w:rFonts w:ascii="Calibri" w:eastAsia="Calibri" w:hAnsi="Calibri" w:cs="Calibri"/>
          <w:b/>
          <w:bCs/>
          <w:i/>
          <w:iCs/>
          <w:color w:val="0A3D62"/>
          <w:sz w:val="22"/>
          <w:szCs w:val="22"/>
        </w:rPr>
        <w:t>Small, consistent connections build the relationships that change policy.</w:t>
      </w:r>
    </w:p>
    <w:p w14:paraId="3B88FE64" w14:textId="77777777" w:rsidR="005E0319" w:rsidRDefault="005E0319" w:rsidP="005E0319">
      <w:pPr>
        <w:spacing w:before="120"/>
      </w:pPr>
      <w:r>
        <w:rPr>
          <w:rFonts w:ascii="Calibri" w:eastAsia="Calibri" w:hAnsi="Calibri" w:cs="Calibri"/>
          <w:color w:val="555555"/>
          <w:sz w:val="16"/>
          <w:szCs w:val="16"/>
        </w:rPr>
        <w:t>Tennessee Disability Coalition  ·  955 Woodland Street, Nashville, TN 37206  ·  615-383-9442  ·  coalition@tndisability.org</w:t>
      </w:r>
    </w:p>
    <w:p w14:paraId="3CE1B1D3" w14:textId="200AE05A" w:rsidR="005E0319" w:rsidRDefault="005E0319" w:rsidP="005E0319"/>
    <w:p w14:paraId="121A3423" w14:textId="77777777" w:rsidR="000264AF" w:rsidRDefault="00E27094"/>
    <w:sectPr w:rsidR="000264AF" w:rsidSect="005E03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832D5D"/>
    <w:multiLevelType w:val="hybridMultilevel"/>
    <w:tmpl w:val="1F7E818A"/>
    <w:lvl w:ilvl="0" w:tplc="273ED162">
      <w:start w:val="1"/>
      <w:numFmt w:val="bullet"/>
      <w:lvlText w:val="●"/>
      <w:lvlJc w:val="left"/>
      <w:pPr>
        <w:ind w:left="720" w:hanging="360"/>
      </w:pPr>
    </w:lvl>
    <w:lvl w:ilvl="1" w:tplc="548CF4C0">
      <w:start w:val="1"/>
      <w:numFmt w:val="bullet"/>
      <w:lvlText w:val="○"/>
      <w:lvlJc w:val="left"/>
      <w:pPr>
        <w:ind w:left="1440" w:hanging="360"/>
      </w:pPr>
    </w:lvl>
    <w:lvl w:ilvl="2" w:tplc="F6F83348">
      <w:start w:val="1"/>
      <w:numFmt w:val="bullet"/>
      <w:lvlText w:val="■"/>
      <w:lvlJc w:val="left"/>
      <w:pPr>
        <w:ind w:left="2160" w:hanging="360"/>
      </w:pPr>
    </w:lvl>
    <w:lvl w:ilvl="3" w:tplc="DFE4CD98">
      <w:start w:val="1"/>
      <w:numFmt w:val="bullet"/>
      <w:lvlText w:val="●"/>
      <w:lvlJc w:val="left"/>
      <w:pPr>
        <w:ind w:left="2880" w:hanging="360"/>
      </w:pPr>
    </w:lvl>
    <w:lvl w:ilvl="4" w:tplc="EEAE1AE2">
      <w:start w:val="1"/>
      <w:numFmt w:val="bullet"/>
      <w:lvlText w:val="○"/>
      <w:lvlJc w:val="left"/>
      <w:pPr>
        <w:ind w:left="3600" w:hanging="360"/>
      </w:pPr>
    </w:lvl>
    <w:lvl w:ilvl="5" w:tplc="A2840E8E">
      <w:start w:val="1"/>
      <w:numFmt w:val="bullet"/>
      <w:lvlText w:val="■"/>
      <w:lvlJc w:val="left"/>
      <w:pPr>
        <w:ind w:left="4320" w:hanging="360"/>
      </w:pPr>
    </w:lvl>
    <w:lvl w:ilvl="6" w:tplc="B0D2EE1A">
      <w:start w:val="1"/>
      <w:numFmt w:val="bullet"/>
      <w:lvlText w:val="●"/>
      <w:lvlJc w:val="left"/>
      <w:pPr>
        <w:ind w:left="5040" w:hanging="360"/>
      </w:pPr>
    </w:lvl>
    <w:lvl w:ilvl="7" w:tplc="F7D084C4">
      <w:start w:val="1"/>
      <w:numFmt w:val="bullet"/>
      <w:lvlText w:val="●"/>
      <w:lvlJc w:val="left"/>
      <w:pPr>
        <w:ind w:left="5760" w:hanging="360"/>
      </w:pPr>
    </w:lvl>
    <w:lvl w:ilvl="8" w:tplc="FBCE9C2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319"/>
    <w:rsid w:val="0000079F"/>
    <w:rsid w:val="003D108D"/>
    <w:rsid w:val="004C5DAC"/>
    <w:rsid w:val="0051214E"/>
    <w:rsid w:val="005D4025"/>
    <w:rsid w:val="005E0319"/>
    <w:rsid w:val="00733DC7"/>
    <w:rsid w:val="00863DA3"/>
    <w:rsid w:val="00E2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A93BD"/>
  <w15:chartTrackingRefBased/>
  <w15:docId w15:val="{8AAE153F-9DCE-BA46-97C9-CF3262B9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rsid w:val="005E031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D40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4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apitol.tn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2026-09-09T18:50:00Z</dcterms:created>
  <dcterms:modified xsi:type="dcterms:W3CDTF">2026-09-09T19:27:00Z</dcterms:modified>
</cp:coreProperties>
</file>